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8" w:rsidRDefault="007D2068" w:rsidP="007D2068">
      <w:pPr>
        <w:spacing w:before="200"/>
        <w:jc w:val="center"/>
        <w:rPr>
          <w:rFonts w:eastAsia="標楷體"/>
          <w:color w:val="222222"/>
          <w:sz w:val="28"/>
          <w:szCs w:val="28"/>
        </w:rPr>
      </w:pPr>
      <w:r>
        <w:rPr>
          <w:rFonts w:eastAsia="標楷體" w:hint="eastAsia"/>
          <w:color w:val="222222"/>
          <w:sz w:val="28"/>
          <w:szCs w:val="28"/>
        </w:rPr>
        <w:t>應用化學系實驗室安全守則</w:t>
      </w:r>
    </w:p>
    <w:p w:rsidR="007D2068" w:rsidRDefault="007D2068" w:rsidP="007D2068">
      <w:pPr>
        <w:snapToGrid w:val="0"/>
        <w:spacing w:line="24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民國</w:t>
      </w:r>
      <w:r>
        <w:rPr>
          <w:sz w:val="18"/>
          <w:szCs w:val="18"/>
        </w:rPr>
        <w:t>104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09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22</w:t>
      </w:r>
      <w:r>
        <w:rPr>
          <w:rFonts w:hint="eastAsia"/>
          <w:sz w:val="18"/>
          <w:szCs w:val="18"/>
        </w:rPr>
        <w:t>日系</w:t>
      </w:r>
      <w:proofErr w:type="gramStart"/>
      <w:r>
        <w:rPr>
          <w:rFonts w:hint="eastAsia"/>
          <w:sz w:val="18"/>
          <w:szCs w:val="18"/>
        </w:rPr>
        <w:t>務</w:t>
      </w:r>
      <w:proofErr w:type="gramEnd"/>
      <w:r>
        <w:rPr>
          <w:rFonts w:hint="eastAsia"/>
          <w:sz w:val="18"/>
          <w:szCs w:val="18"/>
        </w:rPr>
        <w:t>會議通過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為維護實驗室之正常運作，依據勞工安全衛生法</w:t>
      </w:r>
      <w:r w:rsidRPr="00AA1FD9">
        <w:rPr>
          <w:rFonts w:ascii="標楷體" w:eastAsia="標楷體" w:hAnsi="標楷體" w:hint="eastAsia"/>
        </w:rPr>
        <w:t>、</w:t>
      </w:r>
      <w:r w:rsidRPr="00AA1FD9">
        <w:rPr>
          <w:rFonts w:eastAsia="標楷體" w:hint="eastAsia"/>
        </w:rPr>
        <w:t>執行細則及「靜宜大學安全衛生工作守則」與「靜宜大學理學院實驗室安全守則」相關規定，訂定應用化學系實驗室安全守則</w:t>
      </w:r>
      <w:r w:rsidRPr="00AA1FD9">
        <w:rPr>
          <w:rFonts w:eastAsia="標楷體"/>
        </w:rPr>
        <w:t>(</w:t>
      </w:r>
      <w:r w:rsidRPr="00AA1FD9">
        <w:rPr>
          <w:rFonts w:eastAsia="標楷體" w:hint="eastAsia"/>
        </w:rPr>
        <w:t>以下簡稱本守則</w:t>
      </w:r>
      <w:r w:rsidRPr="00AA1FD9">
        <w:rPr>
          <w:rFonts w:eastAsia="標楷體"/>
        </w:rPr>
        <w:t>)</w:t>
      </w:r>
      <w:r w:rsidRPr="00AA1FD9">
        <w:rPr>
          <w:rFonts w:eastAsia="標楷體" w:hint="eastAsia"/>
        </w:rPr>
        <w:t>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本守則適用範圍本系所屬之大學部實驗室及從事</w:t>
      </w:r>
      <w:r w:rsidRPr="006723FB">
        <w:rPr>
          <w:rFonts w:eastAsia="標楷體" w:hint="eastAsia"/>
        </w:rPr>
        <w:t>化學物質</w:t>
      </w:r>
      <w:r w:rsidRPr="00AA1FD9">
        <w:rPr>
          <w:rFonts w:eastAsia="標楷體" w:hint="eastAsia"/>
        </w:rPr>
        <w:t>相關作業之場所</w:t>
      </w:r>
      <w:r w:rsidRPr="00AA1FD9">
        <w:rPr>
          <w:rFonts w:eastAsia="標楷體" w:hint="eastAsia"/>
        </w:rPr>
        <w:t>(</w:t>
      </w:r>
      <w:r w:rsidRPr="00AA1FD9">
        <w:rPr>
          <w:rFonts w:eastAsia="標楷體" w:hint="eastAsia"/>
        </w:rPr>
        <w:t>以下簡稱本場所</w:t>
      </w:r>
      <w:r w:rsidRPr="00AA1FD9">
        <w:rPr>
          <w:rFonts w:eastAsia="標楷體" w:hint="eastAsia"/>
        </w:rPr>
        <w:t>)</w:t>
      </w:r>
      <w:r w:rsidRPr="00AA1FD9">
        <w:rPr>
          <w:rFonts w:eastAsia="標楷體" w:hint="eastAsia"/>
        </w:rPr>
        <w:t>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本守則適用之相關人員，指在本場所進行化學相關實驗之人員。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實驗室內嚴禁吸菸、飲食及其它危險行為。</w:t>
      </w:r>
    </w:p>
    <w:p w:rsidR="007D2068" w:rsidRPr="00AA1FD9" w:rsidRDefault="007D2068" w:rsidP="007D2068">
      <w:pPr>
        <w:numPr>
          <w:ilvl w:val="0"/>
          <w:numId w:val="1"/>
        </w:numPr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操作</w:t>
      </w:r>
      <w:r w:rsidRPr="00AA1FD9">
        <w:rPr>
          <w:rFonts w:eastAsia="標楷體"/>
        </w:rPr>
        <w:t>實驗</w:t>
      </w:r>
      <w:r w:rsidRPr="00AA1FD9">
        <w:rPr>
          <w:rFonts w:eastAsia="標楷體" w:hint="eastAsia"/>
        </w:rPr>
        <w:t>者</w:t>
      </w:r>
      <w:r w:rsidRPr="00AA1FD9">
        <w:rPr>
          <w:rFonts w:eastAsia="標楷體"/>
        </w:rPr>
        <w:t>應</w:t>
      </w:r>
      <w:r w:rsidRPr="00AA1FD9">
        <w:rPr>
          <w:rFonts w:eastAsia="標楷體" w:hint="eastAsia"/>
        </w:rPr>
        <w:t>依規定</w:t>
      </w:r>
      <w:r w:rsidRPr="00AA1FD9">
        <w:rPr>
          <w:rFonts w:eastAsia="標楷體"/>
        </w:rPr>
        <w:t>配戴必要的個人防護器具，</w:t>
      </w:r>
      <w:r w:rsidRPr="00AA1FD9">
        <w:rPr>
          <w:rFonts w:eastAsia="標楷體" w:hint="eastAsia"/>
        </w:rPr>
        <w:t>如</w:t>
      </w:r>
      <w:r w:rsidRPr="00AA1FD9">
        <w:rPr>
          <w:rFonts w:ascii="標楷體" w:eastAsia="標楷體" w:hAnsi="標楷體" w:hint="eastAsia"/>
        </w:rPr>
        <w:t>：</w:t>
      </w:r>
      <w:r w:rsidRPr="00AA1FD9">
        <w:rPr>
          <w:rFonts w:eastAsia="標楷體" w:hint="eastAsia"/>
        </w:rPr>
        <w:t>實驗衣、護目鏡、</w:t>
      </w:r>
      <w:proofErr w:type="gramStart"/>
      <w:r w:rsidRPr="00AA1FD9">
        <w:rPr>
          <w:rFonts w:eastAsia="標楷體" w:hint="eastAsia"/>
        </w:rPr>
        <w:t>包鞋</w:t>
      </w:r>
      <w:proofErr w:type="gramEnd"/>
      <w:r w:rsidRPr="00AA1FD9">
        <w:rPr>
          <w:rFonts w:eastAsia="標楷體" w:hint="eastAsia"/>
        </w:rPr>
        <w:t>、防護手套</w:t>
      </w:r>
      <w:r w:rsidRPr="00AA1FD9">
        <w:rPr>
          <w:rFonts w:eastAsia="標楷體"/>
        </w:rPr>
        <w:t>…</w:t>
      </w:r>
      <w:r w:rsidRPr="00AA1FD9">
        <w:rPr>
          <w:rFonts w:eastAsia="標楷體" w:hint="eastAsia"/>
        </w:rPr>
        <w:t>等，從事實驗時請勿戴隱形眼鏡。</w:t>
      </w:r>
    </w:p>
    <w:p w:rsidR="007D2068" w:rsidRPr="00AA1FD9" w:rsidRDefault="007D2068" w:rsidP="007D2068">
      <w:pPr>
        <w:numPr>
          <w:ilvl w:val="0"/>
          <w:numId w:val="1"/>
        </w:numPr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化學藥品應妥為管理，並標示其主要成份之學名及</w:t>
      </w:r>
      <w:r w:rsidRPr="00AA1FD9">
        <w:rPr>
          <w:rFonts w:eastAsia="標楷體"/>
        </w:rPr>
        <w:t>GHS</w:t>
      </w:r>
      <w:r w:rsidRPr="00AA1FD9">
        <w:rPr>
          <w:rFonts w:eastAsia="標楷體" w:hint="eastAsia"/>
        </w:rPr>
        <w:t>相關標示，危險品、易燃物、毒性物質應依危害通識規則或環保法令相關規定標示，並存放於指定位置，實驗室廢棄物及逾期不用之藥品應依規定處理，不得任意倒入水槽或棄置，實驗室廢液應依其相容性收集於桶內後，應做成記錄，依照環</w:t>
      </w:r>
      <w:proofErr w:type="gramStart"/>
      <w:r w:rsidRPr="00AA1FD9">
        <w:rPr>
          <w:rFonts w:eastAsia="標楷體" w:hint="eastAsia"/>
        </w:rPr>
        <w:t>安組廢液</w:t>
      </w:r>
      <w:proofErr w:type="gramEnd"/>
      <w:r w:rsidRPr="00AA1FD9">
        <w:rPr>
          <w:rFonts w:eastAsia="標楷體" w:hint="eastAsia"/>
        </w:rPr>
        <w:t>處理規定貯存及清除。</w:t>
      </w:r>
    </w:p>
    <w:p w:rsidR="007D2068" w:rsidRPr="00AA1FD9" w:rsidRDefault="007D2068" w:rsidP="007D2068">
      <w:pPr>
        <w:numPr>
          <w:ilvl w:val="0"/>
          <w:numId w:val="1"/>
        </w:numPr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列管之毒性化學物質應依規定取得使用許可，指定專人負責管理並實施上鎖、每運作必有紀錄、盤存等作業運作紀錄須保存三年。</w:t>
      </w:r>
    </w:p>
    <w:p w:rsidR="007D2068" w:rsidRPr="00AA1FD9" w:rsidRDefault="007D2068" w:rsidP="007D2068">
      <w:pPr>
        <w:numPr>
          <w:ilvl w:val="0"/>
          <w:numId w:val="1"/>
        </w:numPr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烘箱、蒸餾器等加熱設備</w:t>
      </w:r>
      <w:proofErr w:type="gramStart"/>
      <w:r w:rsidRPr="00AA1FD9">
        <w:rPr>
          <w:rFonts w:eastAsia="標楷體" w:hint="eastAsia"/>
        </w:rPr>
        <w:t>附近禁放易燃</w:t>
      </w:r>
      <w:proofErr w:type="gramEnd"/>
      <w:r w:rsidRPr="00AA1FD9">
        <w:rPr>
          <w:rFonts w:eastAsia="標楷體" w:hint="eastAsia"/>
        </w:rPr>
        <w:t>、易爆化學品，實驗室內請勿放置多餘之可燃性物質；冷藏化學藥品之冰箱、冷藏櫃內不得放置食品、飲料，並禁止以食品容器充當實驗容器。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氣體鋼瓶應加以固定，運送時</w:t>
      </w:r>
      <w:proofErr w:type="gramStart"/>
      <w:r w:rsidRPr="00AA1FD9">
        <w:rPr>
          <w:rFonts w:eastAsia="標楷體" w:hint="eastAsia"/>
        </w:rPr>
        <w:t>應拴牢鋼瓶</w:t>
      </w:r>
      <w:proofErr w:type="gramEnd"/>
      <w:r w:rsidRPr="00AA1FD9">
        <w:rPr>
          <w:rFonts w:eastAsia="標楷體" w:hint="eastAsia"/>
        </w:rPr>
        <w:t>，並使用鋼瓶推車運送。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實驗室應維持整潔，離去時請檢查水電是否已關好；遇有警鈴響時，應立即將電源及危險氣體關閉，並依照避難引導人員指示儘快離開實驗室。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被化學藥品</w:t>
      </w:r>
      <w:proofErr w:type="gramStart"/>
      <w:r w:rsidRPr="00AA1FD9">
        <w:rPr>
          <w:rFonts w:eastAsia="標楷體" w:hint="eastAsia"/>
        </w:rPr>
        <w:t>濺潑時</w:t>
      </w:r>
      <w:proofErr w:type="gramEnd"/>
      <w:r w:rsidRPr="00AA1FD9">
        <w:rPr>
          <w:rFonts w:eastAsia="標楷體" w:hint="eastAsia"/>
        </w:rPr>
        <w:t>，應立即</w:t>
      </w:r>
      <w:proofErr w:type="gramStart"/>
      <w:r w:rsidRPr="00AA1FD9">
        <w:rPr>
          <w:rFonts w:eastAsia="標楷體" w:hint="eastAsia"/>
        </w:rPr>
        <w:t>用沖身洗眼</w:t>
      </w:r>
      <w:proofErr w:type="gramEnd"/>
      <w:r w:rsidRPr="00AA1FD9">
        <w:rPr>
          <w:rFonts w:eastAsia="標楷體" w:hint="eastAsia"/>
        </w:rPr>
        <w:t>淋浴裝置沖洗至少十五分鐘，經做事當處理後，盡速送</w:t>
      </w:r>
      <w:proofErr w:type="gramStart"/>
      <w:r w:rsidRPr="00AA1FD9">
        <w:rPr>
          <w:rFonts w:eastAsia="標楷體" w:hint="eastAsia"/>
        </w:rPr>
        <w:t>醫</w:t>
      </w:r>
      <w:proofErr w:type="gramEnd"/>
      <w:r w:rsidRPr="00AA1FD9">
        <w:rPr>
          <w:rFonts w:eastAsia="標楷體" w:hint="eastAsia"/>
        </w:rPr>
        <w:t>治療。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從事會發生毒性、腐蝕性、刺激或有異味氣體發生之實驗應於</w:t>
      </w:r>
      <w:proofErr w:type="gramStart"/>
      <w:r w:rsidRPr="00AA1FD9">
        <w:rPr>
          <w:rFonts w:eastAsia="標楷體" w:hint="eastAsia"/>
        </w:rPr>
        <w:t>抽氣櫃</w:t>
      </w:r>
      <w:proofErr w:type="gramEnd"/>
      <w:r w:rsidRPr="00AA1FD9">
        <w:rPr>
          <w:rFonts w:eastAsia="標楷體" w:hint="eastAsia"/>
        </w:rPr>
        <w:t>內進行。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實驗進行中應注意環境變化，必要時應作環境監測，實驗進行中，嚴禁緊閉門窗，應以整體換氣或</w:t>
      </w:r>
      <w:proofErr w:type="gramStart"/>
      <w:r w:rsidRPr="00AA1FD9">
        <w:rPr>
          <w:rFonts w:eastAsia="標楷體" w:hint="eastAsia"/>
        </w:rPr>
        <w:t>局部抽氣方式</w:t>
      </w:r>
      <w:proofErr w:type="gramEnd"/>
      <w:r w:rsidRPr="00AA1FD9">
        <w:rPr>
          <w:rFonts w:eastAsia="標楷體" w:hint="eastAsia"/>
        </w:rPr>
        <w:t>保持實驗室良好之空氣品質。</w:t>
      </w:r>
    </w:p>
    <w:p w:rsidR="007D2068" w:rsidRPr="00AA1FD9" w:rsidRDefault="007D2068" w:rsidP="007D2068">
      <w:pPr>
        <w:numPr>
          <w:ilvl w:val="0"/>
          <w:numId w:val="1"/>
        </w:numPr>
        <w:tabs>
          <w:tab w:val="left" w:pos="1134"/>
        </w:tabs>
        <w:spacing w:before="200"/>
        <w:ind w:left="1134" w:hanging="1134"/>
        <w:jc w:val="both"/>
        <w:textAlignment w:val="baseline"/>
        <w:rPr>
          <w:rFonts w:eastAsia="標楷體"/>
        </w:rPr>
      </w:pPr>
      <w:r w:rsidRPr="00AA1FD9">
        <w:rPr>
          <w:rFonts w:eastAsia="標楷體" w:hint="eastAsia"/>
        </w:rPr>
        <w:t>本守則經系</w:t>
      </w:r>
      <w:proofErr w:type="gramStart"/>
      <w:r w:rsidRPr="00AA1FD9">
        <w:rPr>
          <w:rFonts w:eastAsia="標楷體" w:hint="eastAsia"/>
        </w:rPr>
        <w:t>務</w:t>
      </w:r>
      <w:proofErr w:type="gramEnd"/>
      <w:r w:rsidRPr="00AA1FD9">
        <w:rPr>
          <w:rFonts w:eastAsia="標楷體" w:hint="eastAsia"/>
        </w:rPr>
        <w:t>會議通過後實施，修正時亦同。</w:t>
      </w:r>
    </w:p>
    <w:p w:rsidR="00C4155C" w:rsidRPr="007D2068" w:rsidRDefault="00C4155C">
      <w:bookmarkStart w:id="0" w:name="_GoBack"/>
      <w:bookmarkEnd w:id="0"/>
    </w:p>
    <w:sectPr w:rsidR="00C4155C" w:rsidRPr="007D2068" w:rsidSect="007D20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266"/>
    <w:multiLevelType w:val="hybridMultilevel"/>
    <w:tmpl w:val="22CAEDC2"/>
    <w:lvl w:ilvl="0" w:tplc="BE1490DE">
      <w:start w:val="1"/>
      <w:numFmt w:val="taiwaneseCountingThousand"/>
      <w:lvlText w:val="第%1條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68"/>
    <w:rsid w:val="007D2068"/>
    <w:rsid w:val="00C4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6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6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414</Characters>
  <Application>Microsoft Office Word</Application>
  <DocSecurity>0</DocSecurity>
  <Lines>24</Lines>
  <Paragraphs>21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AC-15261</dc:creator>
  <cp:lastModifiedBy>AC-15261</cp:lastModifiedBy>
  <cp:revision>1</cp:revision>
  <dcterms:created xsi:type="dcterms:W3CDTF">2015-10-05T03:04:00Z</dcterms:created>
  <dcterms:modified xsi:type="dcterms:W3CDTF">2015-10-05T03:05:00Z</dcterms:modified>
</cp:coreProperties>
</file>